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b3914325434f5c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32980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OPĆINA NOVA BUKOVICA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23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VI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586.117,59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461.101,12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78,7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424.696,09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426.092,38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100,3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161.421,50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35.008,74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21,7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4.616,20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3.726,63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80,7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4.616,20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3.726,63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80,7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357.052,27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49.771,06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422.206,39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848,3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PRIMITAKA OD FINANCIJSKE IMOVINE I ZADUŽIVANJA (šifre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49.771,06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65.154,12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130,9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I PRIMITAKA (šifre Y345-X678)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33.872,01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Konsolidirani izvještaj sastoji se od Izvještaja proračuna Općine Nova Bukovica i Dječjeg vrtića Maslačak Nova Bukovica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Stalni porezi na nepokretnu imovinu (zemlju, zgrade, kuće i ostalo)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34,42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porez na nekretnine - nije ga bilo u 2025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Povremeni porezi na imovinu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3.408,84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6.021,32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176,6</w:t>
            </w:r>
          </w:p>
        </w:tc>
      </w:tr>
    </w:tbl>
    <w:p>
      <w:pPr>
        <w:spacing w:before="0" w:after="0"/>
      </w:pPr>
    </w:p>
    <w:p>
      <w:r>
        <w:t xml:space="preserve">Plaćeno je više poreza na promet nekretnina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Porez na promet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2.613,90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802,93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30,7</w:t>
            </w:r>
          </w:p>
        </w:tc>
      </w:tr>
    </w:tbl>
    <w:p>
      <w:pPr>
        <w:spacing w:before="0" w:after="0"/>
      </w:pPr>
    </w:p>
    <w:p>
      <w:r>
        <w:t xml:space="preserve">Manje je uplaćeno poreza na potrošnju alkoholnih i bezalkoholnih pića u odnosu na prethodnu godinu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pomoći proračunu i izvanproračunskim korisnicima iz drugih proračuna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214.473,84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221.014,22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103,0</w:t>
            </w:r>
          </w:p>
        </w:tc>
      </w:tr>
    </w:tbl>
    <w:p>
      <w:pPr>
        <w:spacing w:before="0" w:after="0"/>
      </w:pPr>
    </w:p>
    <w:p>
      <w:r>
        <w:t xml:space="preserve">Sredstva fiskalnog izravnanja i fiskalne održivosti dječjeg vrtića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Doprinosi za šume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139.557,60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43.893,94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31,5</w:t>
            </w:r>
          </w:p>
        </w:tc>
      </w:tr>
    </w:tbl>
    <w:p>
      <w:pPr>
        <w:spacing w:before="0" w:after="0"/>
      </w:pPr>
    </w:p>
    <w:p>
      <w:r>
        <w:t xml:space="preserve">manje krčenje šuma u gledanom razdoblju razlog je što su prihodi manji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nespomenuti prihodi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50.128,22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39.863,24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79,5</w:t>
            </w:r>
          </w:p>
        </w:tc>
      </w:tr>
    </w:tbl>
    <w:p>
      <w:pPr>
        <w:spacing w:before="0" w:after="0"/>
      </w:pPr>
    </w:p>
    <w:p>
      <w:r>
        <w:t xml:space="preserve">manje ostalih prihoda u odnosu na 2025. Prihodi se odnose i na uplate roditelja za sufinanciranje boravka djece u vrtiću.Iznos je veći iz razloga što više djece s područja susjednog grada i općina koristi usluge dječjeg vrtića koji plaćaju punu ekonomsku cijenu.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Komunalne naknade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38.181,92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22.539,41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59,0</w:t>
            </w:r>
          </w:p>
        </w:tc>
      </w:tr>
    </w:tbl>
    <w:p>
      <w:pPr>
        <w:spacing w:before="0" w:after="0"/>
      </w:pPr>
    </w:p>
    <w:p>
      <w:r>
        <w:t xml:space="preserve">Uplatnice za komunalnu naknade poslane su u travnju pa su uplate u prva dva  tromjesečja manja u odnosu na isto razdoblje prošle godine kad su se  slale ranije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zaposlene (šifre 311+312+313)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182.877,02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197.818,69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108,2</w:t>
            </w:r>
          </w:p>
        </w:tc>
      </w:tr>
    </w:tbl>
    <w:p>
      <w:pPr>
        <w:spacing w:before="0" w:after="0"/>
      </w:pPr>
    </w:p>
    <w:p>
      <w:r>
        <w:t xml:space="preserve">Rashodi za zaposlene veći su u odnosu na prethodnu godinu. Razlog tome je povećanje osnovice za plaću  u Dječjem vrtiću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rashodi za zaposlene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18.375,11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14.411,58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78,4</w:t>
            </w:r>
          </w:p>
        </w:tc>
      </w:tr>
    </w:tbl>
    <w:p>
      <w:pPr>
        <w:spacing w:before="0" w:after="0"/>
      </w:pPr>
    </w:p>
    <w:p>
      <w:r>
        <w:t xml:space="preserve">paušalna naknada za prehranu radnika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za prijevoz, za rad na terenu i odvojeni život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3.780,47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2.435,40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64,4</w:t>
            </w:r>
          </w:p>
        </w:tc>
      </w:tr>
    </w:tbl>
    <w:p>
      <w:pPr>
        <w:spacing w:before="0" w:after="0"/>
      </w:pPr>
    </w:p>
    <w:p>
      <w:r>
        <w:t xml:space="preserve">Manja je naknada iz razloga jer je manja udaljenost radnika od mjesta stanovanja do mjesta rada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Materijal i sirovine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20.121,45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27.445,98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136,4</w:t>
            </w:r>
          </w:p>
        </w:tc>
      </w:tr>
    </w:tbl>
    <w:p>
      <w:pPr>
        <w:spacing w:before="0" w:after="0"/>
      </w:pPr>
    </w:p>
    <w:p>
      <w:r>
        <w:t xml:space="preserve">Trošak se odnosi na namirnice za doručak i užinu i dostavu hrane za ručak djece.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Zdravstvene i veterinarske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6.654,97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8.527,43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128,1</w:t>
            </w:r>
          </w:p>
        </w:tc>
      </w:tr>
    </w:tbl>
    <w:p>
      <w:pPr>
        <w:spacing w:before="0" w:after="0"/>
      </w:pPr>
    </w:p>
    <w:p>
      <w:r>
        <w:t xml:space="preserve">Odnosi se na Implementaciju HACCP sustava, implementaciju PRKVM-legionela, uzimanje uzoraka vode, sanitarni pregled djelatnica vrtića, sufinanciranje dolaska specijalista oftalmologa u Slatinu..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Intelektualne i osobne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14.541,33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40.108,65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275,8</w:t>
            </w:r>
          </w:p>
        </w:tc>
      </w:tr>
    </w:tbl>
    <w:p>
      <w:pPr>
        <w:spacing w:before="0" w:after="0"/>
      </w:pPr>
    </w:p>
    <w:p>
      <w:r>
        <w:t xml:space="preserve">Osim redovnog održavanja programa plaćene su i izmjene u sustavu eRačuna i trošak geodeta za uvođenje u posjed poljoprivrednog zemljišta u vlasništvu RH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za rad predstavničkih i izvršnih tijela, povjerenstava i slično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39.277,86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7.147,18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18,2</w:t>
            </w:r>
          </w:p>
        </w:tc>
      </w:tr>
    </w:tbl>
    <w:p>
      <w:pPr>
        <w:spacing w:before="0" w:after="0"/>
      </w:pPr>
    </w:p>
    <w:p>
      <w:r>
        <w:t xml:space="preserve">prethodne godine su bile isplaćene naknade za izbore kojih ove godine nema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Reprezentacija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2.723,79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13.464,64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494,3</w:t>
            </w:r>
          </w:p>
        </w:tc>
      </w:tr>
    </w:tbl>
    <w:p>
      <w:pPr>
        <w:spacing w:before="0" w:after="0"/>
      </w:pPr>
    </w:p>
    <w:p>
      <w:r>
        <w:t xml:space="preserve">knjižen je račun za glazbenog izvođača za dan općine koji je prošle godine bio u kasnijem razdoblju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Kamate za primljene kredite i zajmove od kreditnih i ostalih financijskih institucija izvan javnog sektora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4.954,34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6.148,60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124,1</w:t>
            </w:r>
          </w:p>
        </w:tc>
      </w:tr>
    </w:tbl>
    <w:p>
      <w:pPr>
        <w:spacing w:before="0" w:after="0"/>
      </w:pPr>
    </w:p>
    <w:p>
      <w:r>
        <w:t xml:space="preserve">Odnose se na kamate za dugoročni kredit i okvirni kredit po poslovnom računu kojeg prethodne godine nije bilo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8443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Primljeni krediti od tuzemnih kreditnih institucija izvan javnog sektora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8443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357.052,27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okvirni kredit po poslovnom računu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5443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Otplata glavnice primljenih kredita od tuzemnih kreditnih institucija izvan javnog sektora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5443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49.771,06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422.206,39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848,3</w:t>
            </w:r>
          </w:p>
        </w:tc>
      </w:tr>
    </w:tbl>
    <w:p>
      <w:pPr>
        <w:spacing w:before="0" w:after="0"/>
      </w:pPr>
    </w:p>
    <w:p>
      <w:r>
        <w:t xml:space="preserve">dugoročni kredit i okvirni kredit po poslovnom računu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31215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za bolest, invalidnost i smrtni slučaj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31215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1.420,14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1.920,48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135,2</w:t>
            </w:r>
          </w:p>
        </w:tc>
      </w:tr>
    </w:tbl>
    <w:p>
      <w:pPr>
        <w:spacing w:before="0" w:after="0"/>
      </w:pPr>
    </w:p>
    <w:p>
      <w:r>
        <w:t xml:space="preserve">naknada za bolovanje preko 90 dana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37.865,38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Dospjele obveze su nastale iz razloga što nisu plaćene do isteka roka plaćanja i plaćene su poslije datuma izvješća. Odnosi se na materijalne i financijske rashode.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nedospjelih obveza na kraju izvještajnog razdoblja (šifre V010 + ND23 + ND24 + 'ND dio 25,26' + ND27)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925.531,78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veći dio se odnosi za obveze za otplatu kredita koje nisu dospjele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23.</w:t>
      </w:r>
    </w:p>
    <w:p>
      <w:pPr>
        <w:jc w:val="both"/>
        <w:pStyle w:val="Normal"/>
        <w:spacing w:line="240" w:lineRule="auto"/>
      </w:pPr>
      <w:r>
        <w:rPr>
          <w:b/>
          <w:sz w:val="24"/>
          <w:rFonts w:ascii="Times New Roman" w:hAnsi="Times New Roman"/>
        </w:rPr>
        <w:t xml:space="preserve">Unutargrupne transakcije koje su u izvještajima eliminirane</w:t>
      </w:r>
    </w:p>
    <w:p>
      <w:r>
        <w:t xml:space="preserve">Elimirana su konta 36721 i 67111 u iznosu 84074,68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24.</w:t>
      </w:r>
    </w:p>
    <w:p>
      <w:pPr>
        <w:jc w:val="both"/>
        <w:pStyle w:val="Normal"/>
        <w:spacing w:line="240" w:lineRule="auto"/>
      </w:pPr>
      <w:r>
        <w:rPr>
          <w:b/>
          <w:sz w:val="24"/>
          <w:rFonts w:ascii="Times New Roman" w:hAnsi="Times New Roman"/>
        </w:rPr>
        <w:t xml:space="preserve">Manjak ili višak u poslovanju grupe i pregled strukture manjka/viška po proračunskim korisnicima </w:t>
      </w:r>
    </w:p>
    <w:p>
      <w:r>
        <w:t xml:space="preserve">Manjak prihoda nastao je jer se digao okvirni kredit po tekućem računu. 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75f306ed25b4aaa" /></Relationships>
</file>